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02" w:rsidRDefault="00EB3E02" w:rsidP="004F5706">
      <w:pPr>
        <w:spacing w:line="360" w:lineRule="auto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992"/>
        <w:gridCol w:w="426"/>
        <w:gridCol w:w="425"/>
        <w:gridCol w:w="1630"/>
        <w:gridCol w:w="3615"/>
        <w:gridCol w:w="992"/>
        <w:gridCol w:w="425"/>
      </w:tblGrid>
      <w:tr w:rsidR="004F5706" w:rsidTr="004F5706">
        <w:tc>
          <w:tcPr>
            <w:tcW w:w="10064" w:type="dxa"/>
            <w:gridSpan w:val="8"/>
          </w:tcPr>
          <w:p w:rsidR="004F5706" w:rsidRDefault="004F5706" w:rsidP="002069E6">
            <w:pPr>
              <w:jc w:val="center"/>
            </w:pPr>
            <w:r>
              <w:t>ОПРОСНЫЙ ЛИСТ</w:t>
            </w:r>
          </w:p>
          <w:p w:rsidR="004F5706" w:rsidRDefault="004F5706" w:rsidP="002069E6">
            <w:pPr>
              <w:jc w:val="center"/>
            </w:pPr>
            <w:r>
              <w:t xml:space="preserve">НА ПЫЛЕУЛОВИТЕЛИ И ФИЛЬТРЫ </w:t>
            </w:r>
            <w:proofErr w:type="gramStart"/>
            <w:r>
              <w:t>ДЛЯ</w:t>
            </w:r>
            <w:proofErr w:type="gramEnd"/>
          </w:p>
          <w:p w:rsidR="004F5706" w:rsidRDefault="004F5706" w:rsidP="004D3565">
            <w:pPr>
              <w:jc w:val="center"/>
            </w:pPr>
            <w:r>
              <w:t>ОЧИСТКИ ПРИРОДНОГО ИЛИ ПОПУТНОГО ГАЗА</w:t>
            </w:r>
          </w:p>
        </w:tc>
      </w:tr>
      <w:tr w:rsidR="004F5706" w:rsidTr="00B31AF6">
        <w:trPr>
          <w:trHeight w:val="457"/>
        </w:trPr>
        <w:tc>
          <w:tcPr>
            <w:tcW w:w="5032" w:type="dxa"/>
            <w:gridSpan w:val="5"/>
            <w:vAlign w:val="center"/>
          </w:tcPr>
          <w:p w:rsidR="004F5706" w:rsidRDefault="004F5706" w:rsidP="009B624F">
            <w:pPr>
              <w:jc w:val="center"/>
            </w:pPr>
            <w:r>
              <w:t>ВОПРОСЫ</w:t>
            </w:r>
          </w:p>
        </w:tc>
        <w:tc>
          <w:tcPr>
            <w:tcW w:w="5032" w:type="dxa"/>
            <w:gridSpan w:val="3"/>
            <w:vAlign w:val="center"/>
          </w:tcPr>
          <w:p w:rsidR="004F5706" w:rsidRDefault="004F5706" w:rsidP="009B624F">
            <w:pPr>
              <w:jc w:val="center"/>
            </w:pPr>
            <w:r>
              <w:t>ОТВЕТЫ</w:t>
            </w:r>
          </w:p>
        </w:tc>
      </w:tr>
      <w:tr w:rsidR="004F5706" w:rsidTr="004F5706">
        <w:trPr>
          <w:trHeight w:val="550"/>
        </w:trPr>
        <w:tc>
          <w:tcPr>
            <w:tcW w:w="10064" w:type="dxa"/>
            <w:gridSpan w:val="8"/>
            <w:vAlign w:val="center"/>
          </w:tcPr>
          <w:p w:rsidR="004F5706" w:rsidRDefault="004F5706" w:rsidP="009B624F">
            <w:pPr>
              <w:jc w:val="center"/>
            </w:pPr>
            <w:r>
              <w:t>1. ПОКАЗАТЕЛИ РАБОТЫ И ХАРАКТЕРИСТИКА ИЗДЕЛИЙ</w:t>
            </w:r>
          </w:p>
        </w:tc>
      </w:tr>
      <w:tr w:rsidR="004F5706" w:rsidTr="004F5706">
        <w:trPr>
          <w:trHeight w:val="282"/>
        </w:trPr>
        <w:tc>
          <w:tcPr>
            <w:tcW w:w="5032" w:type="dxa"/>
            <w:gridSpan w:val="5"/>
            <w:vAlign w:val="bottom"/>
          </w:tcPr>
          <w:p w:rsidR="004F5706" w:rsidRDefault="004F5706" w:rsidP="009B624F">
            <w:pPr>
              <w:jc w:val="both"/>
            </w:pPr>
            <w:r>
              <w:t>1.1. Производительность, м</w:t>
            </w:r>
            <w:r>
              <w:rPr>
                <w:vertAlign w:val="superscript"/>
              </w:rPr>
              <w:t>3</w:t>
            </w:r>
            <w:r>
              <w:t xml:space="preserve">/ч, приведенная к условиям: </w:t>
            </w:r>
            <w:r>
              <w:rPr>
                <w:lang w:val="en-US"/>
              </w:rPr>
              <w:t>t</w:t>
            </w:r>
            <w:r w:rsidRPr="00D762DD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%</w:t>
            </w:r>
          </w:p>
        </w:tc>
        <w:tc>
          <w:tcPr>
            <w:tcW w:w="5032" w:type="dxa"/>
            <w:gridSpan w:val="3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gridSpan w:val="5"/>
            <w:vAlign w:val="bottom"/>
          </w:tcPr>
          <w:p w:rsidR="004F5706" w:rsidRDefault="004F5706" w:rsidP="009B624F">
            <w:pPr>
              <w:jc w:val="both"/>
            </w:pPr>
            <w:r>
              <w:t>1.2. Избыточное технологическое давление,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МПа</w:t>
            </w:r>
          </w:p>
        </w:tc>
        <w:tc>
          <w:tcPr>
            <w:tcW w:w="5032" w:type="dxa"/>
            <w:gridSpan w:val="3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gridSpan w:val="5"/>
            <w:vAlign w:val="bottom"/>
          </w:tcPr>
          <w:p w:rsidR="004F5706" w:rsidRDefault="004F5706" w:rsidP="009B624F">
            <w:pPr>
              <w:jc w:val="both"/>
            </w:pPr>
            <w:r>
              <w:t xml:space="preserve">1.3. Температура рабочая,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 xml:space="preserve">)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5032" w:type="dxa"/>
            <w:gridSpan w:val="3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gridSpan w:val="5"/>
            <w:vAlign w:val="bottom"/>
          </w:tcPr>
          <w:p w:rsidR="004F5706" w:rsidRDefault="004F5706" w:rsidP="009B624F">
            <w:pPr>
              <w:jc w:val="both"/>
              <w:rPr>
                <w:vertAlign w:val="superscript"/>
              </w:rPr>
            </w:pPr>
            <w:r>
              <w:t>1.4. Допустимое гидравлическое сопротивление, Па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032" w:type="dxa"/>
            <w:gridSpan w:val="3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gridSpan w:val="5"/>
            <w:vAlign w:val="bottom"/>
          </w:tcPr>
          <w:p w:rsidR="004F5706" w:rsidRDefault="004F5706" w:rsidP="009B624F">
            <w:pPr>
              <w:jc w:val="both"/>
            </w:pPr>
            <w:r>
              <w:t>1.5. Массовая концентрация твердых частиц в очищенном газе, г/м</w:t>
            </w:r>
            <w:r>
              <w:rPr>
                <w:vertAlign w:val="superscript"/>
              </w:rPr>
              <w:t>3</w:t>
            </w:r>
            <w:r>
              <w:t xml:space="preserve">, рассчитанная на производительность, приведенную к условиям: </w:t>
            </w:r>
            <w:r>
              <w:rPr>
                <w:lang w:val="en-US"/>
              </w:rPr>
              <w:t>t</w:t>
            </w:r>
            <w:r w:rsidRPr="00D762DD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</w:t>
            </w:r>
          </w:p>
        </w:tc>
        <w:tc>
          <w:tcPr>
            <w:tcW w:w="5032" w:type="dxa"/>
            <w:gridSpan w:val="3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gridSpan w:val="5"/>
          </w:tcPr>
          <w:p w:rsidR="004F5706" w:rsidRDefault="004F5706" w:rsidP="009B624F">
            <w:pPr>
              <w:jc w:val="both"/>
            </w:pPr>
            <w:r>
              <w:t>1.6. Массовая концентрация жидкости в очищенном газе, г/м</w:t>
            </w:r>
            <w:r>
              <w:rPr>
                <w:vertAlign w:val="superscript"/>
              </w:rPr>
              <w:t>3</w:t>
            </w:r>
            <w:r>
              <w:t xml:space="preserve">, рассчитанная на производительность, приведенную к условиям: </w:t>
            </w:r>
            <w:r>
              <w:rPr>
                <w:lang w:val="en-US"/>
              </w:rPr>
              <w:t>t</w:t>
            </w:r>
            <w:r w:rsidRPr="00D762DD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</w:t>
            </w:r>
          </w:p>
        </w:tc>
        <w:tc>
          <w:tcPr>
            <w:tcW w:w="5032" w:type="dxa"/>
            <w:gridSpan w:val="3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gridSpan w:val="5"/>
            <w:vAlign w:val="bottom"/>
          </w:tcPr>
          <w:p w:rsidR="004F5706" w:rsidRDefault="004F5706" w:rsidP="009B624F">
            <w:pPr>
              <w:jc w:val="both"/>
            </w:pPr>
            <w:r>
              <w:t xml:space="preserve">1.7. Максимальный размер твердых частиц в газе, </w:t>
            </w:r>
            <w:proofErr w:type="gramStart"/>
            <w:r>
              <w:t>мкм</w:t>
            </w:r>
            <w:proofErr w:type="gramEnd"/>
          </w:p>
        </w:tc>
        <w:tc>
          <w:tcPr>
            <w:tcW w:w="5032" w:type="dxa"/>
            <w:gridSpan w:val="3"/>
          </w:tcPr>
          <w:p w:rsidR="004F5706" w:rsidRDefault="004F5706" w:rsidP="009B624F"/>
        </w:tc>
      </w:tr>
      <w:tr w:rsidR="004F5706" w:rsidTr="004F5706">
        <w:trPr>
          <w:trHeight w:val="275"/>
        </w:trPr>
        <w:tc>
          <w:tcPr>
            <w:tcW w:w="5032" w:type="dxa"/>
            <w:gridSpan w:val="5"/>
            <w:vAlign w:val="bottom"/>
          </w:tcPr>
          <w:p w:rsidR="004F5706" w:rsidRDefault="004F5706" w:rsidP="009B624F">
            <w:pPr>
              <w:jc w:val="both"/>
            </w:pPr>
            <w:r>
              <w:t>1.8. Противодавление в системе сброса от предохранительного клапана, МПа</w:t>
            </w:r>
          </w:p>
        </w:tc>
        <w:tc>
          <w:tcPr>
            <w:tcW w:w="5032" w:type="dxa"/>
            <w:gridSpan w:val="3"/>
          </w:tcPr>
          <w:p w:rsidR="004F5706" w:rsidRDefault="004F5706" w:rsidP="009B624F"/>
        </w:tc>
      </w:tr>
      <w:tr w:rsidR="004F5706" w:rsidTr="004F5706">
        <w:trPr>
          <w:cantSplit/>
          <w:trHeight w:val="278"/>
        </w:trPr>
        <w:tc>
          <w:tcPr>
            <w:tcW w:w="3402" w:type="dxa"/>
            <w:gridSpan w:val="4"/>
            <w:vMerge w:val="restart"/>
            <w:tcBorders>
              <w:bottom w:val="nil"/>
            </w:tcBorders>
            <w:vAlign w:val="center"/>
          </w:tcPr>
          <w:p w:rsidR="004F5706" w:rsidRPr="002069E6" w:rsidRDefault="004F5706" w:rsidP="009B624F">
            <w:pPr>
              <w:pStyle w:val="2"/>
              <w:rPr>
                <w:b w:val="0"/>
                <w:sz w:val="24"/>
                <w:szCs w:val="24"/>
              </w:rPr>
            </w:pPr>
            <w:r w:rsidRPr="002069E6">
              <w:rPr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5" w:type="dxa"/>
            <w:gridSpan w:val="2"/>
            <w:vMerge w:val="restart"/>
            <w:tcBorders>
              <w:bottom w:val="nil"/>
            </w:tcBorders>
            <w:vAlign w:val="center"/>
          </w:tcPr>
          <w:p w:rsidR="004F5706" w:rsidRDefault="004F5706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4F5706" w:rsidRDefault="004F5706" w:rsidP="009B624F">
            <w:r>
              <w:t>Лист</w:t>
            </w:r>
          </w:p>
        </w:tc>
        <w:tc>
          <w:tcPr>
            <w:tcW w:w="425" w:type="dxa"/>
            <w:vAlign w:val="center"/>
          </w:tcPr>
          <w:p w:rsidR="004F5706" w:rsidRDefault="004F5706" w:rsidP="009B624F">
            <w:pPr>
              <w:jc w:val="center"/>
            </w:pPr>
            <w:r>
              <w:t>1</w:t>
            </w:r>
          </w:p>
        </w:tc>
      </w:tr>
      <w:tr w:rsidR="002069E6" w:rsidTr="004F5706">
        <w:trPr>
          <w:cantSplit/>
          <w:trHeight w:val="278"/>
        </w:trPr>
        <w:tc>
          <w:tcPr>
            <w:tcW w:w="3402" w:type="dxa"/>
            <w:gridSpan w:val="4"/>
            <w:vMerge/>
            <w:tcBorders>
              <w:bottom w:val="nil"/>
            </w:tcBorders>
            <w:vAlign w:val="center"/>
          </w:tcPr>
          <w:p w:rsidR="002069E6" w:rsidRPr="002069E6" w:rsidRDefault="002069E6" w:rsidP="009B624F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bottom w:val="nil"/>
            </w:tcBorders>
            <w:vAlign w:val="center"/>
          </w:tcPr>
          <w:p w:rsidR="002069E6" w:rsidRDefault="002069E6" w:rsidP="009B624F">
            <w:pPr>
              <w:jc w:val="center"/>
            </w:pPr>
          </w:p>
        </w:tc>
        <w:tc>
          <w:tcPr>
            <w:tcW w:w="992" w:type="dxa"/>
            <w:vAlign w:val="center"/>
          </w:tcPr>
          <w:p w:rsidR="002069E6" w:rsidRDefault="002069E6" w:rsidP="009B624F">
            <w:r>
              <w:t>Лист</w:t>
            </w:r>
          </w:p>
        </w:tc>
        <w:tc>
          <w:tcPr>
            <w:tcW w:w="425" w:type="dxa"/>
            <w:vAlign w:val="center"/>
          </w:tcPr>
          <w:p w:rsidR="002069E6" w:rsidRDefault="002069E6" w:rsidP="009B624F">
            <w:pPr>
              <w:jc w:val="center"/>
            </w:pPr>
            <w:r>
              <w:t>2</w:t>
            </w:r>
          </w:p>
        </w:tc>
      </w:tr>
      <w:tr w:rsidR="004F5706" w:rsidTr="004F5706">
        <w:trPr>
          <w:cantSplit/>
          <w:trHeight w:val="277"/>
        </w:trPr>
        <w:tc>
          <w:tcPr>
            <w:tcW w:w="3402" w:type="dxa"/>
            <w:gridSpan w:val="4"/>
            <w:vMerge/>
            <w:vAlign w:val="center"/>
          </w:tcPr>
          <w:p w:rsidR="004F5706" w:rsidRDefault="004F5706" w:rsidP="009B624F">
            <w:pPr>
              <w:jc w:val="center"/>
            </w:pPr>
          </w:p>
        </w:tc>
        <w:tc>
          <w:tcPr>
            <w:tcW w:w="5245" w:type="dxa"/>
            <w:gridSpan w:val="2"/>
            <w:vMerge/>
          </w:tcPr>
          <w:p w:rsidR="004F5706" w:rsidRDefault="004F5706" w:rsidP="009B624F"/>
        </w:tc>
        <w:tc>
          <w:tcPr>
            <w:tcW w:w="992" w:type="dxa"/>
            <w:vAlign w:val="center"/>
          </w:tcPr>
          <w:p w:rsidR="004F5706" w:rsidRDefault="004F5706" w:rsidP="009B624F">
            <w:r>
              <w:t>Листов</w:t>
            </w:r>
          </w:p>
        </w:tc>
        <w:tc>
          <w:tcPr>
            <w:tcW w:w="425" w:type="dxa"/>
            <w:vAlign w:val="center"/>
          </w:tcPr>
          <w:p w:rsidR="004F5706" w:rsidRPr="002069E6" w:rsidRDefault="002069E6" w:rsidP="009B624F">
            <w:pPr>
              <w:jc w:val="center"/>
            </w:pPr>
            <w:r>
              <w:t>3</w:t>
            </w:r>
          </w:p>
        </w:tc>
      </w:tr>
      <w:tr w:rsidR="004F5706" w:rsidTr="004F5706">
        <w:trPr>
          <w:cantSplit/>
          <w:trHeight w:val="275"/>
        </w:trPr>
        <w:tc>
          <w:tcPr>
            <w:tcW w:w="1559" w:type="dxa"/>
            <w:vAlign w:val="center"/>
          </w:tcPr>
          <w:p w:rsidR="004F5706" w:rsidRDefault="004F5706" w:rsidP="009B624F">
            <w:r>
              <w:t>Составил</w:t>
            </w:r>
          </w:p>
        </w:tc>
        <w:tc>
          <w:tcPr>
            <w:tcW w:w="992" w:type="dxa"/>
          </w:tcPr>
          <w:p w:rsidR="004F5706" w:rsidRDefault="004F5706" w:rsidP="009B624F"/>
        </w:tc>
        <w:tc>
          <w:tcPr>
            <w:tcW w:w="426" w:type="dxa"/>
          </w:tcPr>
          <w:p w:rsidR="004F5706" w:rsidRDefault="004F5706" w:rsidP="009B624F"/>
        </w:tc>
        <w:tc>
          <w:tcPr>
            <w:tcW w:w="425" w:type="dxa"/>
          </w:tcPr>
          <w:p w:rsidR="004F5706" w:rsidRDefault="004F5706" w:rsidP="009B624F"/>
        </w:tc>
        <w:tc>
          <w:tcPr>
            <w:tcW w:w="6662" w:type="dxa"/>
            <w:gridSpan w:val="4"/>
            <w:vMerge w:val="restart"/>
            <w:vAlign w:val="center"/>
          </w:tcPr>
          <w:p w:rsidR="004F5706" w:rsidRDefault="004F5706" w:rsidP="009B624F">
            <w:pPr>
              <w:jc w:val="center"/>
            </w:pPr>
            <w:r>
              <w:t>Наименование изделия и индекс по технологической схеме</w:t>
            </w:r>
          </w:p>
        </w:tc>
      </w:tr>
      <w:tr w:rsidR="004F5706" w:rsidTr="004F5706">
        <w:trPr>
          <w:cantSplit/>
          <w:trHeight w:val="275"/>
        </w:trPr>
        <w:tc>
          <w:tcPr>
            <w:tcW w:w="1559" w:type="dxa"/>
            <w:vAlign w:val="center"/>
          </w:tcPr>
          <w:p w:rsidR="004F5706" w:rsidRDefault="004F5706" w:rsidP="009B624F">
            <w:r>
              <w:t>Проверил</w:t>
            </w:r>
          </w:p>
        </w:tc>
        <w:tc>
          <w:tcPr>
            <w:tcW w:w="992" w:type="dxa"/>
          </w:tcPr>
          <w:p w:rsidR="004F5706" w:rsidRDefault="004F5706" w:rsidP="009B624F"/>
        </w:tc>
        <w:tc>
          <w:tcPr>
            <w:tcW w:w="426" w:type="dxa"/>
          </w:tcPr>
          <w:p w:rsidR="004F5706" w:rsidRDefault="004F5706" w:rsidP="009B624F"/>
        </w:tc>
        <w:tc>
          <w:tcPr>
            <w:tcW w:w="425" w:type="dxa"/>
          </w:tcPr>
          <w:p w:rsidR="004F5706" w:rsidRDefault="004F5706" w:rsidP="009B624F"/>
        </w:tc>
        <w:tc>
          <w:tcPr>
            <w:tcW w:w="6662" w:type="dxa"/>
            <w:gridSpan w:val="4"/>
            <w:vMerge/>
          </w:tcPr>
          <w:p w:rsidR="004F5706" w:rsidRDefault="004F5706" w:rsidP="009B624F"/>
        </w:tc>
      </w:tr>
      <w:tr w:rsidR="004F5706" w:rsidTr="004F5706">
        <w:trPr>
          <w:cantSplit/>
          <w:trHeight w:val="275"/>
        </w:trPr>
        <w:tc>
          <w:tcPr>
            <w:tcW w:w="1559" w:type="dxa"/>
            <w:vAlign w:val="center"/>
          </w:tcPr>
          <w:p w:rsidR="004F5706" w:rsidRDefault="004F5706" w:rsidP="009B624F">
            <w:r>
              <w:t>Руководил</w:t>
            </w:r>
          </w:p>
        </w:tc>
        <w:tc>
          <w:tcPr>
            <w:tcW w:w="992" w:type="dxa"/>
          </w:tcPr>
          <w:p w:rsidR="004F5706" w:rsidRDefault="004F5706" w:rsidP="009B624F"/>
        </w:tc>
        <w:tc>
          <w:tcPr>
            <w:tcW w:w="426" w:type="dxa"/>
          </w:tcPr>
          <w:p w:rsidR="004F5706" w:rsidRDefault="004F5706" w:rsidP="009B624F"/>
        </w:tc>
        <w:tc>
          <w:tcPr>
            <w:tcW w:w="425" w:type="dxa"/>
          </w:tcPr>
          <w:p w:rsidR="004F5706" w:rsidRDefault="004F5706" w:rsidP="009B624F"/>
        </w:tc>
        <w:tc>
          <w:tcPr>
            <w:tcW w:w="6662" w:type="dxa"/>
            <w:gridSpan w:val="4"/>
            <w:vMerge/>
          </w:tcPr>
          <w:p w:rsidR="004F5706" w:rsidRDefault="004F5706" w:rsidP="009B624F"/>
        </w:tc>
      </w:tr>
    </w:tbl>
    <w:p w:rsidR="006B47E6" w:rsidRDefault="006B47E6" w:rsidP="002069E6">
      <w:pPr>
        <w:spacing w:line="360" w:lineRule="auto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3331"/>
        <w:gridCol w:w="992"/>
        <w:gridCol w:w="142"/>
        <w:gridCol w:w="567"/>
      </w:tblGrid>
      <w:tr w:rsidR="00CD63E7" w:rsidTr="00C75162">
        <w:trPr>
          <w:trHeight w:val="550"/>
        </w:trPr>
        <w:tc>
          <w:tcPr>
            <w:tcW w:w="5032" w:type="dxa"/>
            <w:vAlign w:val="bottom"/>
          </w:tcPr>
          <w:p w:rsidR="00CD63E7" w:rsidRDefault="00CD63E7" w:rsidP="009A5C09">
            <w:pPr>
              <w:jc w:val="both"/>
            </w:pPr>
            <w:r>
              <w:lastRenderedPageBreak/>
              <w:t>1.9. Наличие обогревающего устройства и место его установки (внутри, снаружи)</w:t>
            </w:r>
          </w:p>
        </w:tc>
        <w:tc>
          <w:tcPr>
            <w:tcW w:w="5032" w:type="dxa"/>
            <w:gridSpan w:val="4"/>
            <w:vAlign w:val="center"/>
          </w:tcPr>
          <w:p w:rsidR="00CD63E7" w:rsidRDefault="00CD63E7" w:rsidP="009B624F">
            <w:pPr>
              <w:jc w:val="center"/>
            </w:pPr>
          </w:p>
        </w:tc>
      </w:tr>
      <w:tr w:rsidR="00CD63E7" w:rsidTr="00CD63E7">
        <w:trPr>
          <w:trHeight w:val="274"/>
        </w:trPr>
        <w:tc>
          <w:tcPr>
            <w:tcW w:w="5032" w:type="dxa"/>
          </w:tcPr>
          <w:p w:rsidR="00CD63E7" w:rsidRDefault="00CD63E7" w:rsidP="009A5C09">
            <w:pPr>
              <w:jc w:val="both"/>
            </w:pPr>
            <w:r>
              <w:t>1.10. Система сброса жидкости</w:t>
            </w:r>
          </w:p>
        </w:tc>
        <w:tc>
          <w:tcPr>
            <w:tcW w:w="5032" w:type="dxa"/>
            <w:gridSpan w:val="4"/>
            <w:vAlign w:val="center"/>
          </w:tcPr>
          <w:p w:rsidR="00CD63E7" w:rsidRDefault="00CD63E7" w:rsidP="00CD63E7">
            <w:r>
              <w:t xml:space="preserve">Варианты ответов </w:t>
            </w:r>
            <w:proofErr w:type="spellStart"/>
            <w:r>
              <w:t>см</w:t>
            </w:r>
            <w:proofErr w:type="gramStart"/>
            <w:r>
              <w:t>.н</w:t>
            </w:r>
            <w:proofErr w:type="gramEnd"/>
            <w:r>
              <w:t>иже</w:t>
            </w:r>
            <w:proofErr w:type="spellEnd"/>
          </w:p>
        </w:tc>
      </w:tr>
      <w:tr w:rsidR="00CD63E7" w:rsidTr="00C75162">
        <w:trPr>
          <w:trHeight w:val="550"/>
        </w:trPr>
        <w:tc>
          <w:tcPr>
            <w:tcW w:w="5032" w:type="dxa"/>
            <w:vAlign w:val="bottom"/>
          </w:tcPr>
          <w:p w:rsidR="00CD63E7" w:rsidRDefault="00CD63E7" w:rsidP="009A5C09">
            <w:pPr>
              <w:jc w:val="both"/>
            </w:pPr>
            <w:r>
              <w:t>1.10. Перечень технологических параметров, подлежащих контролю и регулированию</w:t>
            </w:r>
          </w:p>
        </w:tc>
        <w:tc>
          <w:tcPr>
            <w:tcW w:w="5032" w:type="dxa"/>
            <w:gridSpan w:val="4"/>
            <w:vAlign w:val="center"/>
          </w:tcPr>
          <w:p w:rsidR="00CD63E7" w:rsidRDefault="00CD63E7" w:rsidP="009B624F">
            <w:pPr>
              <w:jc w:val="center"/>
            </w:pPr>
          </w:p>
        </w:tc>
      </w:tr>
      <w:tr w:rsidR="00CD63E7" w:rsidTr="00CD63E7">
        <w:trPr>
          <w:trHeight w:val="271"/>
        </w:trPr>
        <w:tc>
          <w:tcPr>
            <w:tcW w:w="10064" w:type="dxa"/>
            <w:gridSpan w:val="5"/>
            <w:vAlign w:val="center"/>
          </w:tcPr>
          <w:p w:rsidR="00CD63E7" w:rsidRDefault="00CD63E7" w:rsidP="009B624F">
            <w:pPr>
              <w:jc w:val="center"/>
            </w:pPr>
            <w:r>
              <w:t>3. ХАРАКТЕРИСТИКА СРЕДЫ</w:t>
            </w:r>
          </w:p>
        </w:tc>
      </w:tr>
      <w:tr w:rsidR="00CD63E7" w:rsidTr="00C75162">
        <w:trPr>
          <w:trHeight w:val="550"/>
        </w:trPr>
        <w:tc>
          <w:tcPr>
            <w:tcW w:w="5032" w:type="dxa"/>
            <w:vAlign w:val="bottom"/>
          </w:tcPr>
          <w:p w:rsidR="00CD63E7" w:rsidRDefault="00CD63E7" w:rsidP="009A5C09">
            <w:pPr>
              <w:jc w:val="both"/>
            </w:pPr>
            <w:r>
              <w:t>2.1. Наименование твердых и жидких примесей, содержащихся в газе</w:t>
            </w:r>
          </w:p>
        </w:tc>
        <w:tc>
          <w:tcPr>
            <w:tcW w:w="5032" w:type="dxa"/>
            <w:gridSpan w:val="4"/>
            <w:vAlign w:val="center"/>
          </w:tcPr>
          <w:p w:rsidR="00CD63E7" w:rsidRDefault="00CD63E7" w:rsidP="009B624F">
            <w:pPr>
              <w:jc w:val="center"/>
            </w:pPr>
          </w:p>
        </w:tc>
      </w:tr>
      <w:tr w:rsidR="004F5706" w:rsidTr="00CD63E7">
        <w:trPr>
          <w:trHeight w:val="425"/>
        </w:trPr>
        <w:tc>
          <w:tcPr>
            <w:tcW w:w="5032" w:type="dxa"/>
            <w:vAlign w:val="center"/>
          </w:tcPr>
          <w:p w:rsidR="004F5706" w:rsidRDefault="004F5706" w:rsidP="009B624F">
            <w:pPr>
              <w:jc w:val="center"/>
            </w:pPr>
            <w:r>
              <w:t>ВОПРОСЫ</w:t>
            </w:r>
          </w:p>
        </w:tc>
        <w:tc>
          <w:tcPr>
            <w:tcW w:w="5032" w:type="dxa"/>
            <w:gridSpan w:val="4"/>
            <w:vAlign w:val="center"/>
          </w:tcPr>
          <w:p w:rsidR="004F5706" w:rsidRDefault="004F5706" w:rsidP="009B624F">
            <w:pPr>
              <w:jc w:val="center"/>
            </w:pPr>
            <w:r>
              <w:t>ОТВЕТЫ</w:t>
            </w:r>
          </w:p>
        </w:tc>
      </w:tr>
      <w:tr w:rsidR="004F5706" w:rsidTr="004F5706">
        <w:trPr>
          <w:trHeight w:val="278"/>
        </w:trPr>
        <w:tc>
          <w:tcPr>
            <w:tcW w:w="5032" w:type="dxa"/>
            <w:vAlign w:val="bottom"/>
          </w:tcPr>
          <w:p w:rsidR="004F5706" w:rsidRDefault="004F5706" w:rsidP="009B624F">
            <w:pPr>
              <w:jc w:val="both"/>
            </w:pPr>
            <w:r>
              <w:t>2.2. Молярная доля каждого компонента газа и жидкости, %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vAlign w:val="bottom"/>
          </w:tcPr>
          <w:p w:rsidR="004F5706" w:rsidRDefault="004F5706" w:rsidP="009B624F">
            <w:pPr>
              <w:jc w:val="both"/>
            </w:pPr>
            <w:r>
              <w:t xml:space="preserve">2.3. Плотность газа, приведенная к условиям: </w:t>
            </w:r>
            <w:r>
              <w:rPr>
                <w:lang w:val="en-US"/>
              </w:rPr>
              <w:t>t</w:t>
            </w:r>
            <w:r w:rsidRPr="00D762DD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МПа, кг/м</w:t>
            </w:r>
            <w:r>
              <w:rPr>
                <w:vertAlign w:val="superscript"/>
              </w:rPr>
              <w:t>3</w:t>
            </w:r>
            <w:r>
              <w:t>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vAlign w:val="bottom"/>
          </w:tcPr>
          <w:p w:rsidR="004F5706" w:rsidRDefault="004F5706" w:rsidP="009B624F">
            <w:pPr>
              <w:jc w:val="both"/>
            </w:pPr>
            <w:r>
              <w:t xml:space="preserve">2.4. Максимальная массовая концентрация в газе твердых частиц на входе, </w:t>
            </w:r>
            <w:proofErr w:type="gramStart"/>
            <w:r>
              <w:t>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vAlign w:val="bottom"/>
          </w:tcPr>
          <w:p w:rsidR="004F5706" w:rsidRDefault="004F5706" w:rsidP="009B624F">
            <w:pPr>
              <w:jc w:val="both"/>
            </w:pPr>
            <w:r>
              <w:t xml:space="preserve">2.5. Массовая доля твердых частиц размером, </w:t>
            </w:r>
            <w:proofErr w:type="gramStart"/>
            <w:r>
              <w:t>мкм</w:t>
            </w:r>
            <w:proofErr w:type="gramEnd"/>
            <w:r>
              <w:t>, на входе, %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vAlign w:val="bottom"/>
          </w:tcPr>
          <w:p w:rsidR="004F5706" w:rsidRDefault="004F5706" w:rsidP="009B624F">
            <w:pPr>
              <w:jc w:val="both"/>
            </w:pPr>
            <w:r>
              <w:t xml:space="preserve">2.6. Плотность твердых частиц,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vAlign w:val="bottom"/>
          </w:tcPr>
          <w:p w:rsidR="004F5706" w:rsidRDefault="004F5706" w:rsidP="009B624F">
            <w:pPr>
              <w:jc w:val="both"/>
            </w:pPr>
            <w:r>
              <w:t xml:space="preserve">2.7. Максимальная массовая концентрация жидкости в газе, рассчитанная на производительность, приведенную к условиям: </w:t>
            </w:r>
            <w:r>
              <w:rPr>
                <w:lang w:val="en-US"/>
              </w:rPr>
              <w:t>t</w:t>
            </w:r>
            <w:r w:rsidRPr="00D762DD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МПа, 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</w:tcPr>
          <w:p w:rsidR="004F5706" w:rsidRDefault="004F5706" w:rsidP="009B624F">
            <w:r>
              <w:t xml:space="preserve">2.8. Плотность жидкости при рабочих условиях,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278"/>
        </w:trPr>
        <w:tc>
          <w:tcPr>
            <w:tcW w:w="5032" w:type="dxa"/>
            <w:vAlign w:val="bottom"/>
          </w:tcPr>
          <w:p w:rsidR="004F5706" w:rsidRDefault="004F5706" w:rsidP="009B624F">
            <w:pPr>
              <w:jc w:val="both"/>
            </w:pPr>
            <w:r>
              <w:t>2.9. Поверхностное натяжение жидкости при рабочих условиях, Н/м,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  <w:r>
              <w:t>.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c>
          <w:tcPr>
            <w:tcW w:w="5032" w:type="dxa"/>
            <w:vAlign w:val="bottom"/>
          </w:tcPr>
          <w:p w:rsidR="004F5706" w:rsidRDefault="004F5706" w:rsidP="009B624F">
            <w:pPr>
              <w:jc w:val="both"/>
            </w:pPr>
            <w:r>
              <w:t xml:space="preserve">2.10. Характеристика теплоносителя (наименование, молярная доля каждого компонента, %,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избыточное давление, МПа)</w:t>
            </w:r>
          </w:p>
        </w:tc>
        <w:tc>
          <w:tcPr>
            <w:tcW w:w="5032" w:type="dxa"/>
            <w:gridSpan w:val="4"/>
            <w:vAlign w:val="bottom"/>
          </w:tcPr>
          <w:p w:rsidR="004F5706" w:rsidRDefault="004F5706" w:rsidP="009B624F">
            <w:pPr>
              <w:jc w:val="both"/>
            </w:pPr>
          </w:p>
        </w:tc>
      </w:tr>
      <w:tr w:rsidR="004F5706" w:rsidTr="00CD63E7">
        <w:trPr>
          <w:cantSplit/>
          <w:trHeight w:val="376"/>
        </w:trPr>
        <w:tc>
          <w:tcPr>
            <w:tcW w:w="10064" w:type="dxa"/>
            <w:gridSpan w:val="5"/>
            <w:vAlign w:val="center"/>
          </w:tcPr>
          <w:p w:rsidR="004F5706" w:rsidRDefault="004F5706" w:rsidP="00CD63E7">
            <w:pPr>
              <w:jc w:val="center"/>
            </w:pPr>
            <w:r>
              <w:t>3. УСЛОВИЯ УПРАВЛЕНИЯ И ЭКСПЛУАТАЦИИ</w:t>
            </w:r>
          </w:p>
        </w:tc>
      </w:tr>
      <w:tr w:rsidR="004F5706" w:rsidTr="004F5706">
        <w:trPr>
          <w:trHeight w:val="333"/>
        </w:trPr>
        <w:tc>
          <w:tcPr>
            <w:tcW w:w="5032" w:type="dxa"/>
          </w:tcPr>
          <w:p w:rsidR="004F5706" w:rsidRPr="00D762DD" w:rsidRDefault="004F5706" w:rsidP="009B624F">
            <w:pPr>
              <w:pStyle w:val="aa"/>
            </w:pPr>
            <w:r>
              <w:t xml:space="preserve">3.1. Количество заказываемого изделия в объекте в целом, в </w:t>
            </w:r>
            <w:proofErr w:type="spellStart"/>
            <w:r>
              <w:t>т.ч</w:t>
            </w:r>
            <w:proofErr w:type="spellEnd"/>
            <w:r>
              <w:t>. по годам, шт.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199"/>
        </w:trPr>
        <w:tc>
          <w:tcPr>
            <w:tcW w:w="5032" w:type="dxa"/>
          </w:tcPr>
          <w:p w:rsidR="004F5706" w:rsidRDefault="004F5706" w:rsidP="009B624F">
            <w:r>
              <w:t>3.2. Вид поставки: блочная</w:t>
            </w:r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  <w:r>
              <w:t>, не блочная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345"/>
        </w:trPr>
        <w:tc>
          <w:tcPr>
            <w:tcW w:w="5032" w:type="dxa"/>
          </w:tcPr>
          <w:p w:rsidR="004F5706" w:rsidRDefault="004F5706" w:rsidP="009B624F">
            <w:pPr>
              <w:jc w:val="both"/>
            </w:pPr>
            <w:r>
              <w:t>3.3. Требуемый срок службы изделия, лет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hRule="exact" w:val="556"/>
        </w:trPr>
        <w:tc>
          <w:tcPr>
            <w:tcW w:w="5032" w:type="dxa"/>
          </w:tcPr>
          <w:p w:rsidR="004F5706" w:rsidRDefault="004F5706" w:rsidP="009B624F">
            <w:pPr>
              <w:jc w:val="both"/>
            </w:pPr>
            <w:r>
              <w:t>3.4. Место расположения изделия (в помещении, на открытой площадке)</w:t>
            </w:r>
          </w:p>
          <w:p w:rsidR="004F5706" w:rsidRDefault="004F5706" w:rsidP="009B624F">
            <w:pPr>
              <w:jc w:val="center"/>
            </w:pP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556"/>
        </w:trPr>
        <w:tc>
          <w:tcPr>
            <w:tcW w:w="5032" w:type="dxa"/>
          </w:tcPr>
          <w:p w:rsidR="004F5706" w:rsidRDefault="004F5706" w:rsidP="009B624F">
            <w:pPr>
              <w:jc w:val="both"/>
            </w:pPr>
            <w:r>
              <w:t xml:space="preserve">3.5. Характер среды: (категория взрывоопасности смеси по ГОСТ </w:t>
            </w:r>
            <w:proofErr w:type="gramStart"/>
            <w:r>
              <w:t>Р</w:t>
            </w:r>
            <w:proofErr w:type="gramEnd"/>
            <w:r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556"/>
        </w:trPr>
        <w:tc>
          <w:tcPr>
            <w:tcW w:w="5032" w:type="dxa"/>
          </w:tcPr>
          <w:p w:rsidR="004F5706" w:rsidRDefault="004F5706" w:rsidP="009B624F">
            <w:pPr>
              <w:jc w:val="both"/>
              <w:rPr>
                <w:vertAlign w:val="superscript"/>
              </w:rPr>
            </w:pPr>
            <w:r>
              <w:t xml:space="preserve">3.6. Наименование грунта, нормативное давление на подошву фундамента, МПа </w:t>
            </w:r>
            <w:r>
              <w:rPr>
                <w:vertAlign w:val="superscript"/>
              </w:rPr>
              <w:sym w:font="SymbolPS" w:char="F035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556"/>
        </w:trPr>
        <w:tc>
          <w:tcPr>
            <w:tcW w:w="5032" w:type="dxa"/>
          </w:tcPr>
          <w:p w:rsidR="004F5706" w:rsidRDefault="004F5706" w:rsidP="009B624F">
            <w:pPr>
              <w:jc w:val="both"/>
              <w:rPr>
                <w:vertAlign w:val="superscript"/>
              </w:rPr>
            </w:pPr>
            <w:r>
              <w:t xml:space="preserve">3.7. Высота части постамента над уровнем планировочной поверхности и её масса, </w:t>
            </w:r>
            <w:proofErr w:type="gramStart"/>
            <w:r>
              <w:t>кг</w:t>
            </w:r>
            <w:proofErr w:type="gramEnd"/>
            <w:r>
              <w:t>, размеры фундамента, мм</w:t>
            </w:r>
            <w:r>
              <w:rPr>
                <w:vertAlign w:val="superscript"/>
              </w:rPr>
              <w:sym w:font="SymbolPS" w:char="F035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032" w:type="dxa"/>
            <w:gridSpan w:val="4"/>
          </w:tcPr>
          <w:p w:rsidR="004F5706" w:rsidRDefault="004F5706" w:rsidP="009B624F"/>
        </w:tc>
      </w:tr>
      <w:tr w:rsidR="004F5706" w:rsidTr="004F5706">
        <w:trPr>
          <w:trHeight w:val="556"/>
        </w:trPr>
        <w:tc>
          <w:tcPr>
            <w:tcW w:w="5032" w:type="dxa"/>
            <w:tcBorders>
              <w:bottom w:val="nil"/>
            </w:tcBorders>
          </w:tcPr>
          <w:p w:rsidR="004F5706" w:rsidRDefault="004F5706" w:rsidP="009B624F">
            <w:pPr>
              <w:jc w:val="both"/>
              <w:rPr>
                <w:vertAlign w:val="superscript"/>
              </w:rPr>
            </w:pPr>
            <w:r>
              <w:t>3.8.Наличие металлоконструкций и других дополнительных внешних нагрузок, их величина, схема расположения и действия (указывается на эскизе)</w:t>
            </w:r>
            <w:r>
              <w:rPr>
                <w:vertAlign w:val="superscript"/>
              </w:rPr>
              <w:sym w:font="SymbolPS" w:char="F035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032" w:type="dxa"/>
            <w:gridSpan w:val="4"/>
            <w:tcBorders>
              <w:bottom w:val="nil"/>
            </w:tcBorders>
          </w:tcPr>
          <w:p w:rsidR="004F5706" w:rsidRDefault="004F5706" w:rsidP="009B624F"/>
        </w:tc>
      </w:tr>
      <w:tr w:rsidR="00CD63E7" w:rsidTr="00CD63E7">
        <w:trPr>
          <w:cantSplit/>
          <w:trHeight w:val="270"/>
        </w:trPr>
        <w:tc>
          <w:tcPr>
            <w:tcW w:w="8363" w:type="dxa"/>
            <w:gridSpan w:val="2"/>
          </w:tcPr>
          <w:p w:rsidR="00CD63E7" w:rsidRPr="002069E6" w:rsidRDefault="00CD63E7" w:rsidP="00CD63E7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  <w:gridSpan w:val="2"/>
          </w:tcPr>
          <w:p w:rsidR="00CD63E7" w:rsidRPr="002069E6" w:rsidRDefault="00CD63E7" w:rsidP="009B624F">
            <w:r>
              <w:t>Лист</w:t>
            </w:r>
          </w:p>
        </w:tc>
        <w:tc>
          <w:tcPr>
            <w:tcW w:w="567" w:type="dxa"/>
          </w:tcPr>
          <w:p w:rsidR="00CD63E7" w:rsidRPr="002069E6" w:rsidRDefault="00CD63E7" w:rsidP="009B624F">
            <w:r>
              <w:t>2</w:t>
            </w:r>
          </w:p>
        </w:tc>
      </w:tr>
      <w:tr w:rsidR="004F5706" w:rsidTr="004F5706">
        <w:trPr>
          <w:cantSplit/>
          <w:trHeight w:val="266"/>
        </w:trPr>
        <w:tc>
          <w:tcPr>
            <w:tcW w:w="5032" w:type="dxa"/>
          </w:tcPr>
          <w:p w:rsidR="002069E6" w:rsidRDefault="004F5706" w:rsidP="002069E6">
            <w:pPr>
              <w:jc w:val="center"/>
            </w:pPr>
            <w:r>
              <w:lastRenderedPageBreak/>
              <w:t>ВОПРОСЫ</w:t>
            </w:r>
          </w:p>
        </w:tc>
        <w:tc>
          <w:tcPr>
            <w:tcW w:w="5032" w:type="dxa"/>
            <w:gridSpan w:val="4"/>
          </w:tcPr>
          <w:p w:rsidR="004F5706" w:rsidRDefault="004F5706" w:rsidP="002069E6">
            <w:pPr>
              <w:jc w:val="center"/>
            </w:pPr>
            <w:r>
              <w:t>ОТВЕТЫ</w:t>
            </w:r>
          </w:p>
        </w:tc>
      </w:tr>
      <w:tr w:rsidR="004F5706" w:rsidTr="004F5706">
        <w:trPr>
          <w:cantSplit/>
          <w:trHeight w:val="266"/>
        </w:trPr>
        <w:tc>
          <w:tcPr>
            <w:tcW w:w="5032" w:type="dxa"/>
          </w:tcPr>
          <w:p w:rsidR="004F5706" w:rsidRDefault="004F5706" w:rsidP="009B624F">
            <w:pPr>
              <w:jc w:val="both"/>
            </w:pPr>
            <w:r>
              <w:t xml:space="preserve">3.9. Абсолютная минимальная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района эксплуатации изделия;</w:t>
            </w:r>
          </w:p>
          <w:p w:rsidR="004F5706" w:rsidRDefault="004F5706" w:rsidP="009B624F">
            <w:pPr>
              <w:jc w:val="both"/>
            </w:pPr>
            <w:r>
              <w:t xml:space="preserve">средняя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воздуха наиболее холодной пятидневки с обеспеченностью 0,92</w:t>
            </w:r>
          </w:p>
        </w:tc>
        <w:tc>
          <w:tcPr>
            <w:tcW w:w="5032" w:type="dxa"/>
            <w:gridSpan w:val="4"/>
          </w:tcPr>
          <w:p w:rsidR="004F5706" w:rsidRDefault="004F5706" w:rsidP="009B624F">
            <w:pPr>
              <w:rPr>
                <w:vertAlign w:val="superscript"/>
              </w:rPr>
            </w:pPr>
          </w:p>
        </w:tc>
      </w:tr>
      <w:tr w:rsidR="004F5706" w:rsidTr="004F5706">
        <w:trPr>
          <w:cantSplit/>
          <w:trHeight w:val="266"/>
        </w:trPr>
        <w:tc>
          <w:tcPr>
            <w:tcW w:w="5032" w:type="dxa"/>
          </w:tcPr>
          <w:p w:rsidR="004F5706" w:rsidRPr="004F5706" w:rsidRDefault="004F5706" w:rsidP="009B624F">
            <w:pPr>
              <w:jc w:val="both"/>
            </w:pPr>
            <w:r w:rsidRPr="004F5706">
              <w:t>3</w:t>
            </w:r>
            <w:r>
              <w:t>.10. Прочие требования по усмотрению составителя опросного листа</w:t>
            </w:r>
          </w:p>
        </w:tc>
        <w:tc>
          <w:tcPr>
            <w:tcW w:w="5032" w:type="dxa"/>
            <w:gridSpan w:val="4"/>
          </w:tcPr>
          <w:p w:rsidR="004F5706" w:rsidRDefault="004F5706" w:rsidP="009B624F">
            <w:pPr>
              <w:rPr>
                <w:vertAlign w:val="superscript"/>
              </w:rPr>
            </w:pPr>
          </w:p>
        </w:tc>
      </w:tr>
      <w:tr w:rsidR="004F5706" w:rsidTr="004F5706">
        <w:trPr>
          <w:cantSplit/>
          <w:trHeight w:val="570"/>
        </w:trPr>
        <w:tc>
          <w:tcPr>
            <w:tcW w:w="10064" w:type="dxa"/>
            <w:gridSpan w:val="5"/>
          </w:tcPr>
          <w:p w:rsidR="004F5706" w:rsidRDefault="004F5706" w:rsidP="009B624F">
            <w:pPr>
              <w:rPr>
                <w:vertAlign w:val="superscript"/>
              </w:rPr>
            </w:pPr>
          </w:p>
          <w:p w:rsidR="004F5706" w:rsidRDefault="004F5706" w:rsidP="009B624F"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 xml:space="preserve"> Возможные отклонения указываются при необходимости</w:t>
            </w:r>
          </w:p>
          <w:p w:rsidR="004F5706" w:rsidRDefault="004F5706" w:rsidP="009B624F"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t xml:space="preserve"> Допускается ответ «не регламентируется»</w:t>
            </w:r>
          </w:p>
          <w:p w:rsidR="004F5706" w:rsidRDefault="004F5706" w:rsidP="009B624F">
            <w:pPr>
              <w:rPr>
                <w:b/>
              </w:rPr>
            </w:pP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 </w:t>
            </w:r>
            <w:r>
              <w:t>Может быть принято НовомосковскГазДеталь по согласованию с составителем опросного листа</w:t>
            </w:r>
          </w:p>
          <w:p w:rsidR="004F5706" w:rsidRDefault="004F5706" w:rsidP="009B624F"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  <w:r>
              <w:t xml:space="preserve">  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устанавливаемый на раме (для горизонтального аппарата), площадки обслуживания, запорную арматуру с соединяющими трубопроводами, местные приборы и датчики дистанционного управления. </w:t>
            </w:r>
          </w:p>
          <w:p w:rsidR="004F5706" w:rsidRPr="002069E6" w:rsidRDefault="004F5706" w:rsidP="009B624F">
            <w:r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>
              <w:t>КиА</w:t>
            </w:r>
            <w:proofErr w:type="spellEnd"/>
            <w:r>
              <w:t>,  выходные сигналы датчиков и др., а также указать давление избыточное жидкости  на выходе из аппарата</w:t>
            </w:r>
          </w:p>
          <w:p w:rsidR="004F5706" w:rsidRPr="002069E6" w:rsidRDefault="004F5706" w:rsidP="009B624F">
            <w:pPr>
              <w:pStyle w:val="4"/>
              <w:rPr>
                <w:color w:val="auto"/>
                <w:sz w:val="32"/>
              </w:rPr>
            </w:pPr>
            <w:r w:rsidRPr="002069E6">
              <w:rPr>
                <w:color w:val="auto"/>
                <w:sz w:val="32"/>
              </w:rPr>
              <w:t>Варианты ответов на вопрос п. 1.10 (зачеркнуть ненужные варианты)</w:t>
            </w:r>
          </w:p>
          <w:p w:rsidR="004F5706" w:rsidRDefault="004F5706" w:rsidP="009B624F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Технологический сброс и </w:t>
            </w:r>
            <w:proofErr w:type="gramStart"/>
            <w:r>
              <w:rPr>
                <w:sz w:val="20"/>
              </w:rPr>
              <w:t>дренаж</w:t>
            </w:r>
            <w:proofErr w:type="gramEnd"/>
            <w:r>
              <w:rPr>
                <w:sz w:val="20"/>
              </w:rPr>
              <w:t xml:space="preserve"> совмещенные в систему высокого давления с постоянно открытой арматурой</w:t>
            </w:r>
          </w:p>
          <w:p w:rsidR="002069E6" w:rsidRDefault="004F5706" w:rsidP="009B624F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То же – с применением </w:t>
            </w:r>
            <w:proofErr w:type="spellStart"/>
            <w:r>
              <w:rPr>
                <w:sz w:val="20"/>
              </w:rPr>
              <w:t>эжектирования</w:t>
            </w:r>
            <w:proofErr w:type="spellEnd"/>
          </w:p>
          <w:p w:rsidR="004F5706" w:rsidRDefault="004F5706" w:rsidP="009B624F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Технологический сброс и </w:t>
            </w:r>
            <w:proofErr w:type="gramStart"/>
            <w:r>
              <w:rPr>
                <w:sz w:val="20"/>
              </w:rPr>
              <w:t>дренаж</w:t>
            </w:r>
            <w:proofErr w:type="gramEnd"/>
            <w:r>
              <w:rPr>
                <w:sz w:val="20"/>
              </w:rPr>
              <w:t xml:space="preserve"> совмещенные в систему высокого давления периодически открываемой арматурой</w:t>
            </w:r>
          </w:p>
          <w:p w:rsidR="004F5706" w:rsidRDefault="004F5706" w:rsidP="009B624F">
            <w:r>
              <w:t xml:space="preserve">То же – с применением </w:t>
            </w:r>
            <w:proofErr w:type="spellStart"/>
            <w:r>
              <w:t>эжектирования</w:t>
            </w:r>
            <w:proofErr w:type="spellEnd"/>
          </w:p>
          <w:p w:rsidR="004F5706" w:rsidRDefault="004F5706" w:rsidP="009B624F">
            <w:r>
              <w:t>То же в систему с атмосферным  давлением</w:t>
            </w:r>
          </w:p>
          <w:p w:rsidR="004F5706" w:rsidRDefault="004F5706" w:rsidP="009B624F">
            <w:r>
              <w:t xml:space="preserve">То же – </w:t>
            </w:r>
            <w:proofErr w:type="gramStart"/>
            <w:r>
              <w:t>раздельный</w:t>
            </w:r>
            <w:proofErr w:type="gramEnd"/>
          </w:p>
          <w:p w:rsidR="002164BC" w:rsidRDefault="002164BC" w:rsidP="009B624F"/>
          <w:p w:rsidR="002164BC" w:rsidRDefault="002164BC" w:rsidP="009B624F"/>
          <w:p w:rsidR="002164BC" w:rsidRDefault="002164BC" w:rsidP="009B624F"/>
          <w:p w:rsidR="002164BC" w:rsidRPr="002069E6" w:rsidRDefault="002164BC" w:rsidP="009B624F"/>
        </w:tc>
      </w:tr>
      <w:tr w:rsidR="00CD63E7" w:rsidTr="00CD63E7">
        <w:trPr>
          <w:cantSplit/>
          <w:trHeight w:val="250"/>
        </w:trPr>
        <w:tc>
          <w:tcPr>
            <w:tcW w:w="8363" w:type="dxa"/>
            <w:gridSpan w:val="2"/>
          </w:tcPr>
          <w:p w:rsidR="00CD63E7" w:rsidRPr="00CD63E7" w:rsidRDefault="00CD63E7" w:rsidP="00CD63E7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</w:tcPr>
          <w:p w:rsidR="00CD63E7" w:rsidRPr="00CD63E7" w:rsidRDefault="00CD63E7" w:rsidP="009B624F">
            <w:r>
              <w:t>Лист</w:t>
            </w:r>
          </w:p>
        </w:tc>
        <w:tc>
          <w:tcPr>
            <w:tcW w:w="709" w:type="dxa"/>
            <w:gridSpan w:val="2"/>
          </w:tcPr>
          <w:p w:rsidR="00CD63E7" w:rsidRPr="00CD63E7" w:rsidRDefault="00CD63E7" w:rsidP="009B624F">
            <w:r>
              <w:t>3</w:t>
            </w:r>
            <w:bookmarkStart w:id="0" w:name="_GoBack"/>
            <w:bookmarkEnd w:id="0"/>
          </w:p>
        </w:tc>
      </w:tr>
    </w:tbl>
    <w:p w:rsidR="004F5706" w:rsidRPr="008628FE" w:rsidRDefault="004F5706" w:rsidP="002069E6">
      <w:pPr>
        <w:spacing w:line="360" w:lineRule="auto"/>
      </w:pPr>
    </w:p>
    <w:sectPr w:rsidR="004F5706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53" w:rsidRDefault="00662453" w:rsidP="0030202E">
      <w:r>
        <w:separator/>
      </w:r>
    </w:p>
  </w:endnote>
  <w:endnote w:type="continuationSeparator" w:id="0">
    <w:p w:rsidR="00662453" w:rsidRDefault="00662453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53" w:rsidRDefault="00662453" w:rsidP="0030202E">
      <w:r>
        <w:separator/>
      </w:r>
    </w:p>
  </w:footnote>
  <w:footnote w:type="continuationSeparator" w:id="0">
    <w:p w:rsidR="00662453" w:rsidRDefault="00662453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662453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0F5BEA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069E6"/>
    <w:rsid w:val="0021085C"/>
    <w:rsid w:val="002164B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3565"/>
    <w:rsid w:val="004D470D"/>
    <w:rsid w:val="004D75E2"/>
    <w:rsid w:val="004E073D"/>
    <w:rsid w:val="004E0CCE"/>
    <w:rsid w:val="004E30B7"/>
    <w:rsid w:val="004E5EC5"/>
    <w:rsid w:val="004F472E"/>
    <w:rsid w:val="004F513F"/>
    <w:rsid w:val="004F5706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2453"/>
    <w:rsid w:val="006662AD"/>
    <w:rsid w:val="00680904"/>
    <w:rsid w:val="00692F7E"/>
    <w:rsid w:val="0069711D"/>
    <w:rsid w:val="006A2B7D"/>
    <w:rsid w:val="006A2CB5"/>
    <w:rsid w:val="006A3C42"/>
    <w:rsid w:val="006B2111"/>
    <w:rsid w:val="006B47E6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379F2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31AF6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D63E7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11B9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D5AF-15DA-40EC-A988-D029F41A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6</cp:revision>
  <cp:lastPrinted>2016-12-27T13:15:00Z</cp:lastPrinted>
  <dcterms:created xsi:type="dcterms:W3CDTF">2018-05-18T09:59:00Z</dcterms:created>
  <dcterms:modified xsi:type="dcterms:W3CDTF">2018-06-18T11:47:00Z</dcterms:modified>
</cp:coreProperties>
</file>